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5F" w:rsidRDefault="00A5475F">
      <w:pPr>
        <w:rPr>
          <w:rFonts w:cs="Times New Roman"/>
          <w:b/>
          <w:sz w:val="36"/>
          <w:szCs w:val="36"/>
        </w:rPr>
      </w:pPr>
    </w:p>
    <w:p w:rsidR="00A5475F" w:rsidRDefault="00A5475F">
      <w:pPr>
        <w:rPr>
          <w:rFonts w:cs="Times New Roman"/>
          <w:b/>
          <w:sz w:val="36"/>
          <w:szCs w:val="36"/>
        </w:rPr>
      </w:pPr>
    </w:p>
    <w:p w:rsidR="00A5475F" w:rsidRDefault="00A5475F">
      <w:pPr>
        <w:rPr>
          <w:rFonts w:cs="Times New Roman"/>
          <w:b/>
          <w:sz w:val="36"/>
          <w:szCs w:val="36"/>
        </w:rPr>
      </w:pPr>
    </w:p>
    <w:p w:rsidR="00A5475F" w:rsidRDefault="00A5475F">
      <w:pPr>
        <w:rPr>
          <w:rFonts w:cs="Times New Roman"/>
          <w:b/>
          <w:sz w:val="36"/>
          <w:szCs w:val="36"/>
        </w:rPr>
      </w:pPr>
    </w:p>
    <w:p w:rsidR="00A5475F" w:rsidRDefault="00A5475F">
      <w:pPr>
        <w:contextualSpacing/>
        <w:rPr>
          <w:rFonts w:cs="Times New Roman"/>
          <w:b/>
          <w:sz w:val="36"/>
          <w:szCs w:val="36"/>
        </w:rPr>
      </w:pPr>
    </w:p>
    <w:p w:rsidR="00A5475F" w:rsidRDefault="00A5475F" w:rsidP="00A5475F">
      <w:pPr>
        <w:spacing w:line="240" w:lineRule="auto"/>
        <w:contextualSpacing/>
        <w:jc w:val="center"/>
        <w:rPr>
          <w:rFonts w:cs="Times New Roman"/>
          <w:b/>
          <w:sz w:val="36"/>
          <w:szCs w:val="36"/>
        </w:rPr>
      </w:pPr>
      <w:r>
        <w:rPr>
          <w:rFonts w:cs="Times New Roman"/>
          <w:b/>
          <w:sz w:val="36"/>
          <w:szCs w:val="36"/>
        </w:rPr>
        <w:t>TITLE IX AND DUE PROCESS:</w:t>
      </w: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r>
        <w:rPr>
          <w:rFonts w:cs="Times New Roman"/>
          <w:b/>
          <w:sz w:val="36"/>
          <w:szCs w:val="36"/>
        </w:rPr>
        <w:t>CURRENT LEGAL ISSUES IN</w:t>
      </w:r>
    </w:p>
    <w:p w:rsidR="00A5475F" w:rsidRDefault="00A5475F" w:rsidP="00A5475F">
      <w:pPr>
        <w:spacing w:line="240" w:lineRule="auto"/>
        <w:contextualSpacing/>
        <w:jc w:val="center"/>
        <w:rPr>
          <w:rFonts w:cs="Times New Roman"/>
          <w:b/>
          <w:sz w:val="36"/>
          <w:szCs w:val="36"/>
        </w:rPr>
      </w:pPr>
      <w:r>
        <w:rPr>
          <w:rFonts w:cs="Times New Roman"/>
          <w:b/>
          <w:sz w:val="36"/>
          <w:szCs w:val="36"/>
        </w:rPr>
        <w:t>STUDENT SEXUAL MISCONDUCT PROCEDURES</w:t>
      </w: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r>
        <w:rPr>
          <w:rFonts w:cs="Times New Roman"/>
          <w:b/>
          <w:sz w:val="36"/>
          <w:szCs w:val="36"/>
        </w:rPr>
        <w:t>MISSISSIPPI EDUCATION LAW CONFERENCE</w:t>
      </w:r>
    </w:p>
    <w:p w:rsidR="00A5475F" w:rsidRDefault="00A5475F" w:rsidP="00A5475F">
      <w:pPr>
        <w:spacing w:line="240" w:lineRule="auto"/>
        <w:contextualSpacing/>
        <w:jc w:val="center"/>
        <w:rPr>
          <w:rFonts w:cs="Times New Roman"/>
          <w:b/>
          <w:sz w:val="36"/>
          <w:szCs w:val="36"/>
        </w:rPr>
      </w:pPr>
      <w:r>
        <w:rPr>
          <w:rFonts w:cs="Times New Roman"/>
          <w:b/>
          <w:sz w:val="36"/>
          <w:szCs w:val="36"/>
        </w:rPr>
        <w:t>UNIVERSITY OF MISSISSIPPI SCHOOL OF LAW</w:t>
      </w:r>
    </w:p>
    <w:p w:rsidR="00A5475F" w:rsidRDefault="00A5475F" w:rsidP="00A5475F">
      <w:pPr>
        <w:spacing w:line="240" w:lineRule="auto"/>
        <w:contextualSpacing/>
        <w:jc w:val="center"/>
        <w:rPr>
          <w:rFonts w:cs="Times New Roman"/>
          <w:b/>
          <w:sz w:val="36"/>
          <w:szCs w:val="36"/>
        </w:rPr>
      </w:pPr>
      <w:r>
        <w:rPr>
          <w:rFonts w:cs="Times New Roman"/>
          <w:b/>
          <w:sz w:val="36"/>
          <w:szCs w:val="36"/>
        </w:rPr>
        <w:t>JUNE 14, 2019</w:t>
      </w: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p>
    <w:p w:rsidR="00A5475F" w:rsidRDefault="00A5475F" w:rsidP="00A5475F">
      <w:pPr>
        <w:spacing w:line="240" w:lineRule="auto"/>
        <w:contextualSpacing/>
        <w:jc w:val="center"/>
        <w:rPr>
          <w:rFonts w:cs="Times New Roman"/>
          <w:b/>
          <w:sz w:val="36"/>
          <w:szCs w:val="36"/>
        </w:rPr>
      </w:pPr>
      <w:r>
        <w:rPr>
          <w:rFonts w:cs="Times New Roman"/>
          <w:b/>
          <w:sz w:val="36"/>
          <w:szCs w:val="36"/>
        </w:rPr>
        <w:t>J. CAL MAYO, JR.</w:t>
      </w:r>
    </w:p>
    <w:p w:rsidR="00A5475F" w:rsidRDefault="00A5475F" w:rsidP="00A5475F">
      <w:pPr>
        <w:spacing w:line="240" w:lineRule="auto"/>
        <w:contextualSpacing/>
        <w:jc w:val="center"/>
        <w:rPr>
          <w:rFonts w:cs="Times New Roman"/>
          <w:b/>
          <w:sz w:val="36"/>
          <w:szCs w:val="36"/>
        </w:rPr>
      </w:pPr>
      <w:r>
        <w:rPr>
          <w:rFonts w:cs="Times New Roman"/>
          <w:b/>
          <w:sz w:val="36"/>
          <w:szCs w:val="36"/>
        </w:rPr>
        <w:t>MAYO MALLETTE</w:t>
      </w:r>
    </w:p>
    <w:p w:rsidR="00A5475F" w:rsidRDefault="00A5475F" w:rsidP="00A5475F">
      <w:pPr>
        <w:spacing w:line="240" w:lineRule="auto"/>
        <w:contextualSpacing/>
        <w:jc w:val="center"/>
        <w:rPr>
          <w:rFonts w:cs="Times New Roman"/>
          <w:b/>
          <w:sz w:val="36"/>
          <w:szCs w:val="36"/>
        </w:rPr>
      </w:pPr>
      <w:r>
        <w:rPr>
          <w:rFonts w:cs="Times New Roman"/>
          <w:b/>
          <w:sz w:val="36"/>
          <w:szCs w:val="36"/>
        </w:rPr>
        <w:t>OXFORD, MISSISSIPPI</w:t>
      </w:r>
    </w:p>
    <w:p w:rsidR="00A5475F" w:rsidRDefault="00A5475F" w:rsidP="00A5475F">
      <w:pPr>
        <w:spacing w:line="240" w:lineRule="auto"/>
        <w:contextualSpacing/>
        <w:jc w:val="center"/>
        <w:rPr>
          <w:rFonts w:cs="Times New Roman"/>
          <w:b/>
          <w:sz w:val="28"/>
          <w:szCs w:val="28"/>
        </w:rPr>
      </w:pPr>
      <w:r>
        <w:rPr>
          <w:rFonts w:cs="Times New Roman"/>
          <w:b/>
          <w:sz w:val="36"/>
          <w:szCs w:val="36"/>
        </w:rPr>
        <w:t>WWW.MAYOMALLETTE.COM</w:t>
      </w:r>
      <w:r>
        <w:rPr>
          <w:rFonts w:cs="Times New Roman"/>
          <w:b/>
          <w:sz w:val="28"/>
          <w:szCs w:val="28"/>
        </w:rPr>
        <w:br w:type="page"/>
      </w:r>
    </w:p>
    <w:p w:rsidR="002020E9" w:rsidRDefault="009C4939">
      <w:pPr>
        <w:contextualSpacing/>
        <w:rPr>
          <w:rFonts w:cs="Times New Roman"/>
          <w:b/>
          <w:sz w:val="28"/>
          <w:szCs w:val="28"/>
        </w:rPr>
      </w:pPr>
      <w:bookmarkStart w:id="0" w:name="_GoBack"/>
      <w:bookmarkEnd w:id="0"/>
      <w:r w:rsidRPr="008B4AD8">
        <w:rPr>
          <w:rFonts w:cs="Times New Roman"/>
          <w:b/>
          <w:sz w:val="28"/>
          <w:szCs w:val="28"/>
        </w:rPr>
        <w:lastRenderedPageBreak/>
        <w:t>20 USC § 1681</w:t>
      </w:r>
      <w:r w:rsidR="00254658" w:rsidRPr="008B4AD8">
        <w:rPr>
          <w:rFonts w:cs="Times New Roman"/>
          <w:b/>
          <w:sz w:val="28"/>
          <w:szCs w:val="28"/>
        </w:rPr>
        <w:t>(a)</w:t>
      </w:r>
      <w:r w:rsidRPr="008B4AD8">
        <w:rPr>
          <w:rFonts w:cs="Times New Roman"/>
          <w:b/>
          <w:sz w:val="28"/>
          <w:szCs w:val="28"/>
        </w:rPr>
        <w:t>. Sex</w:t>
      </w:r>
    </w:p>
    <w:p w:rsidR="00221774" w:rsidRPr="008B4AD8" w:rsidRDefault="00221774">
      <w:pPr>
        <w:contextualSpacing/>
        <w:rPr>
          <w:rFonts w:cs="Times New Roman"/>
          <w:b/>
          <w:sz w:val="28"/>
          <w:szCs w:val="28"/>
        </w:rPr>
      </w:pPr>
    </w:p>
    <w:p w:rsidR="009C4939" w:rsidRDefault="009C4939" w:rsidP="006A4ABA">
      <w:pPr>
        <w:spacing w:line="240" w:lineRule="auto"/>
        <w:ind w:left="720" w:right="720"/>
        <w:contextualSpacing/>
        <w:rPr>
          <w:rFonts w:cs="Times New Roman"/>
          <w:color w:val="373739"/>
          <w:sz w:val="28"/>
          <w:szCs w:val="28"/>
          <w:shd w:val="clear" w:color="auto" w:fill="FFFFFF"/>
        </w:rPr>
      </w:pPr>
      <w:r w:rsidRPr="00AE5AD1">
        <w:rPr>
          <w:rFonts w:cs="Times New Roman"/>
          <w:color w:val="373739"/>
          <w:sz w:val="28"/>
          <w:szCs w:val="28"/>
          <w:shd w:val="clear" w:color="auto" w:fill="FFFFFF"/>
        </w:rPr>
        <w:t>No person in the United States shall, on the basis of sex, be excluded from participation in, be denied the benefits of, or be subjected to discrimination under any education program or activity receiving Federal financial assistance …</w:t>
      </w:r>
    </w:p>
    <w:p w:rsidR="006A4ABA" w:rsidRPr="00AE5AD1" w:rsidRDefault="006A4ABA" w:rsidP="006A4ABA">
      <w:pPr>
        <w:spacing w:line="240" w:lineRule="auto"/>
        <w:ind w:left="720" w:right="720"/>
        <w:contextualSpacing/>
        <w:rPr>
          <w:rFonts w:cs="Times New Roman"/>
          <w:sz w:val="28"/>
          <w:szCs w:val="28"/>
        </w:rPr>
      </w:pPr>
    </w:p>
    <w:p w:rsidR="00254658" w:rsidRPr="008B4AD8" w:rsidRDefault="00254658" w:rsidP="009C4939">
      <w:pPr>
        <w:ind w:right="720"/>
        <w:contextualSpacing/>
        <w:rPr>
          <w:b/>
          <w:sz w:val="28"/>
          <w:szCs w:val="28"/>
        </w:rPr>
      </w:pPr>
      <w:r w:rsidRPr="008B4AD8">
        <w:rPr>
          <w:b/>
          <w:sz w:val="28"/>
          <w:szCs w:val="28"/>
        </w:rPr>
        <w:t>Title IX:</w:t>
      </w:r>
    </w:p>
    <w:p w:rsidR="006A4ABA" w:rsidRDefault="00254658" w:rsidP="006A4ABA">
      <w:pPr>
        <w:spacing w:line="480" w:lineRule="auto"/>
        <w:ind w:firstLine="720"/>
        <w:contextualSpacing/>
        <w:rPr>
          <w:sz w:val="28"/>
          <w:szCs w:val="28"/>
        </w:rPr>
      </w:pPr>
      <w:r>
        <w:rPr>
          <w:sz w:val="28"/>
          <w:szCs w:val="28"/>
        </w:rPr>
        <w:t xml:space="preserve">An </w:t>
      </w:r>
      <w:r w:rsidR="00484752">
        <w:rPr>
          <w:sz w:val="28"/>
          <w:szCs w:val="28"/>
        </w:rPr>
        <w:t>i</w:t>
      </w:r>
      <w:r>
        <w:rPr>
          <w:sz w:val="28"/>
          <w:szCs w:val="28"/>
        </w:rPr>
        <w:t>mplied private right of action exists</w:t>
      </w:r>
      <w:r w:rsidR="002B77BF">
        <w:rPr>
          <w:sz w:val="28"/>
          <w:szCs w:val="28"/>
        </w:rPr>
        <w:t xml:space="preserve"> under Title IX</w:t>
      </w:r>
      <w:r>
        <w:rPr>
          <w:sz w:val="28"/>
          <w:szCs w:val="28"/>
        </w:rPr>
        <w:t xml:space="preserve">. </w:t>
      </w:r>
      <w:r w:rsidRPr="00254658">
        <w:rPr>
          <w:i/>
          <w:sz w:val="28"/>
          <w:szCs w:val="28"/>
        </w:rPr>
        <w:t>Cannon v. Univ. of Chi</w:t>
      </w:r>
      <w:r w:rsidR="00484752">
        <w:rPr>
          <w:i/>
          <w:sz w:val="28"/>
          <w:szCs w:val="28"/>
        </w:rPr>
        <w:t>cago</w:t>
      </w:r>
      <w:r w:rsidR="006A4ABA">
        <w:rPr>
          <w:sz w:val="28"/>
          <w:szCs w:val="28"/>
        </w:rPr>
        <w:t xml:space="preserve">, </w:t>
      </w:r>
      <w:r>
        <w:rPr>
          <w:sz w:val="28"/>
          <w:szCs w:val="28"/>
        </w:rPr>
        <w:t>441 U.S. 677, 717 (1979).</w:t>
      </w:r>
      <w:r w:rsidR="00484752">
        <w:rPr>
          <w:sz w:val="28"/>
          <w:szCs w:val="28"/>
        </w:rPr>
        <w:t xml:space="preserve"> As Spending Clause legislation, the potential for Title IX liability flows with the money. </w:t>
      </w:r>
      <w:r w:rsidR="00484752" w:rsidRPr="00A50D90">
        <w:rPr>
          <w:i/>
          <w:sz w:val="28"/>
          <w:szCs w:val="28"/>
        </w:rPr>
        <w:t>Pederson v. La. State Univ.</w:t>
      </w:r>
      <w:r w:rsidR="00484752">
        <w:rPr>
          <w:sz w:val="28"/>
          <w:szCs w:val="28"/>
        </w:rPr>
        <w:t>, 213 F.3d 858, 876 (5</w:t>
      </w:r>
      <w:r w:rsidR="00484752" w:rsidRPr="00484752">
        <w:rPr>
          <w:sz w:val="28"/>
          <w:szCs w:val="28"/>
          <w:vertAlign w:val="superscript"/>
        </w:rPr>
        <w:t>th</w:t>
      </w:r>
      <w:r w:rsidR="00484752">
        <w:rPr>
          <w:sz w:val="28"/>
          <w:szCs w:val="28"/>
        </w:rPr>
        <w:t xml:space="preserve"> Cir. 2000). With state government, only the department or agency receiving aid faces liability. </w:t>
      </w:r>
      <w:proofErr w:type="spellStart"/>
      <w:r w:rsidR="00484752" w:rsidRPr="00484752">
        <w:rPr>
          <w:i/>
          <w:iCs/>
          <w:sz w:val="28"/>
          <w:szCs w:val="28"/>
        </w:rPr>
        <w:t>Alegria</w:t>
      </w:r>
      <w:proofErr w:type="spellEnd"/>
      <w:r w:rsidR="00484752" w:rsidRPr="00484752">
        <w:rPr>
          <w:i/>
          <w:iCs/>
          <w:sz w:val="28"/>
          <w:szCs w:val="28"/>
        </w:rPr>
        <w:t xml:space="preserve"> v. Tex.</w:t>
      </w:r>
      <w:r w:rsidR="00484752" w:rsidRPr="00484752">
        <w:rPr>
          <w:sz w:val="28"/>
          <w:szCs w:val="28"/>
        </w:rPr>
        <w:t>, No. G-06-0212, 2007 WL 2688446, at *13</w:t>
      </w:r>
      <w:r w:rsidR="00484752">
        <w:rPr>
          <w:sz w:val="28"/>
          <w:szCs w:val="28"/>
        </w:rPr>
        <w:t xml:space="preserve"> </w:t>
      </w:r>
      <w:r w:rsidR="00484752" w:rsidRPr="00484752">
        <w:rPr>
          <w:sz w:val="28"/>
          <w:szCs w:val="28"/>
        </w:rPr>
        <w:t xml:space="preserve">(S.D. Tex. Sept. 11, 2007), </w:t>
      </w:r>
      <w:r w:rsidR="00484752" w:rsidRPr="00484752">
        <w:rPr>
          <w:i/>
          <w:iCs/>
          <w:sz w:val="28"/>
          <w:szCs w:val="28"/>
        </w:rPr>
        <w:t xml:space="preserve">aff’d sub nom. </w:t>
      </w:r>
      <w:proofErr w:type="spellStart"/>
      <w:r w:rsidR="00484752" w:rsidRPr="00484752">
        <w:rPr>
          <w:i/>
          <w:iCs/>
          <w:sz w:val="28"/>
          <w:szCs w:val="28"/>
        </w:rPr>
        <w:t>Alegria</w:t>
      </w:r>
      <w:proofErr w:type="spellEnd"/>
      <w:r w:rsidR="00484752" w:rsidRPr="00484752">
        <w:rPr>
          <w:i/>
          <w:iCs/>
          <w:sz w:val="28"/>
          <w:szCs w:val="28"/>
        </w:rPr>
        <w:t xml:space="preserve"> v. Williams</w:t>
      </w:r>
      <w:r w:rsidR="00484752" w:rsidRPr="00484752">
        <w:rPr>
          <w:sz w:val="28"/>
          <w:szCs w:val="28"/>
        </w:rPr>
        <w:t xml:space="preserve">, 314 F. </w:t>
      </w:r>
      <w:proofErr w:type="spellStart"/>
      <w:r w:rsidR="00484752" w:rsidRPr="00484752">
        <w:rPr>
          <w:sz w:val="28"/>
          <w:szCs w:val="28"/>
        </w:rPr>
        <w:t>App’x</w:t>
      </w:r>
      <w:proofErr w:type="spellEnd"/>
      <w:r w:rsidR="00484752" w:rsidRPr="00484752">
        <w:rPr>
          <w:sz w:val="28"/>
          <w:szCs w:val="28"/>
        </w:rPr>
        <w:t xml:space="preserve"> 687 (5th Cir. 2009).</w:t>
      </w:r>
    </w:p>
    <w:p w:rsidR="00484752" w:rsidRDefault="00041A0A" w:rsidP="006A4ABA">
      <w:pPr>
        <w:spacing w:line="480" w:lineRule="auto"/>
        <w:ind w:firstLine="720"/>
        <w:contextualSpacing/>
        <w:rPr>
          <w:sz w:val="28"/>
          <w:szCs w:val="28"/>
        </w:rPr>
      </w:pPr>
      <w:r>
        <w:rPr>
          <w:sz w:val="28"/>
          <w:szCs w:val="28"/>
        </w:rPr>
        <w:t xml:space="preserve">Title IX claims in the context of student disciplinary proceedings started with </w:t>
      </w:r>
      <w:r w:rsidRPr="008B4AD8">
        <w:rPr>
          <w:i/>
          <w:sz w:val="28"/>
          <w:szCs w:val="28"/>
        </w:rPr>
        <w:t>Yusuf v. Vassar College</w:t>
      </w:r>
      <w:r>
        <w:rPr>
          <w:sz w:val="28"/>
          <w:szCs w:val="28"/>
        </w:rPr>
        <w:t>, 35 F.3d 709, 714-15 (2d Cir. 1994).</w:t>
      </w:r>
      <w:r w:rsidR="00E51B45">
        <w:rPr>
          <w:sz w:val="28"/>
          <w:szCs w:val="28"/>
        </w:rPr>
        <w:t xml:space="preserve"> Four theories of liability have developed.</w:t>
      </w:r>
    </w:p>
    <w:p w:rsidR="006E4F0E" w:rsidRDefault="00254658" w:rsidP="006A4ABA">
      <w:pPr>
        <w:ind w:left="720"/>
        <w:contextualSpacing/>
        <w:rPr>
          <w:sz w:val="28"/>
          <w:szCs w:val="28"/>
        </w:rPr>
      </w:pPr>
      <w:r w:rsidRPr="008B4AD8">
        <w:rPr>
          <w:b/>
          <w:sz w:val="28"/>
          <w:szCs w:val="28"/>
        </w:rPr>
        <w:t>Erroneous Outcome</w:t>
      </w:r>
      <w:r w:rsidR="006E4F0E" w:rsidRPr="008B4AD8">
        <w:rPr>
          <w:b/>
          <w:sz w:val="28"/>
          <w:szCs w:val="28"/>
        </w:rPr>
        <w:t>:</w:t>
      </w:r>
      <w:r>
        <w:rPr>
          <w:sz w:val="28"/>
          <w:szCs w:val="28"/>
        </w:rPr>
        <w:t xml:space="preserve"> reach wrong decision because of student’s sex</w:t>
      </w:r>
    </w:p>
    <w:p w:rsidR="006A4ABA" w:rsidRDefault="006A4ABA" w:rsidP="006A4ABA">
      <w:pPr>
        <w:ind w:left="720"/>
        <w:contextualSpacing/>
        <w:rPr>
          <w:sz w:val="28"/>
          <w:szCs w:val="28"/>
        </w:rPr>
      </w:pPr>
    </w:p>
    <w:p w:rsidR="00254658" w:rsidRDefault="006E4F0E" w:rsidP="00041A0A">
      <w:pPr>
        <w:ind w:left="1440" w:right="720"/>
        <w:contextualSpacing/>
        <w:rPr>
          <w:sz w:val="28"/>
          <w:szCs w:val="28"/>
        </w:rPr>
      </w:pPr>
      <w:r w:rsidRPr="006A4ABA">
        <w:rPr>
          <w:b/>
          <w:sz w:val="28"/>
          <w:szCs w:val="28"/>
        </w:rPr>
        <w:t>Factors:</w:t>
      </w:r>
      <w:r>
        <w:rPr>
          <w:sz w:val="28"/>
          <w:szCs w:val="28"/>
        </w:rPr>
        <w:t xml:space="preserve"> pressure from</w:t>
      </w:r>
      <w:r w:rsidR="00254658">
        <w:rPr>
          <w:sz w:val="28"/>
          <w:szCs w:val="28"/>
        </w:rPr>
        <w:t xml:space="preserve"> ongoing federal investigations</w:t>
      </w:r>
      <w:r>
        <w:rPr>
          <w:sz w:val="28"/>
          <w:szCs w:val="28"/>
        </w:rPr>
        <w:t xml:space="preserve"> and possible sanctions</w:t>
      </w:r>
      <w:r w:rsidR="00254658">
        <w:rPr>
          <w:sz w:val="28"/>
          <w:szCs w:val="28"/>
        </w:rPr>
        <w:t xml:space="preserve">; </w:t>
      </w:r>
      <w:r>
        <w:rPr>
          <w:sz w:val="28"/>
          <w:szCs w:val="28"/>
        </w:rPr>
        <w:t xml:space="preserve">pressure from campus groups; pressure from parents; </w:t>
      </w:r>
      <w:r w:rsidR="00254658">
        <w:rPr>
          <w:sz w:val="28"/>
          <w:szCs w:val="28"/>
        </w:rPr>
        <w:t>panel member bias</w:t>
      </w:r>
      <w:r>
        <w:rPr>
          <w:sz w:val="28"/>
          <w:szCs w:val="28"/>
        </w:rPr>
        <w:t xml:space="preserve"> from campus or personal activities; favoring witness testimony by gender</w:t>
      </w:r>
      <w:r w:rsidR="00041A0A">
        <w:rPr>
          <w:sz w:val="28"/>
          <w:szCs w:val="28"/>
        </w:rPr>
        <w:t>; statements made by pertinent university officials; patterns of decision-making; insufficient investigation; rejecting exculpatory evidence</w:t>
      </w:r>
      <w:r w:rsidR="00067B0B">
        <w:rPr>
          <w:sz w:val="28"/>
          <w:szCs w:val="28"/>
        </w:rPr>
        <w:t>; policy-making process; training materials</w:t>
      </w:r>
    </w:p>
    <w:p w:rsidR="006A4ABA" w:rsidRDefault="006A4ABA" w:rsidP="00041A0A">
      <w:pPr>
        <w:ind w:left="1440" w:right="720"/>
        <w:contextualSpacing/>
        <w:rPr>
          <w:sz w:val="28"/>
          <w:szCs w:val="28"/>
        </w:rPr>
      </w:pPr>
    </w:p>
    <w:p w:rsidR="00041A0A" w:rsidRDefault="00041A0A" w:rsidP="006A4ABA">
      <w:pPr>
        <w:ind w:left="720"/>
        <w:contextualSpacing/>
        <w:rPr>
          <w:sz w:val="28"/>
          <w:szCs w:val="28"/>
        </w:rPr>
      </w:pPr>
      <w:r w:rsidRPr="008B4AD8">
        <w:rPr>
          <w:b/>
          <w:sz w:val="28"/>
          <w:szCs w:val="28"/>
        </w:rPr>
        <w:t>Selective Enforcement:</w:t>
      </w:r>
      <w:r>
        <w:rPr>
          <w:sz w:val="28"/>
          <w:szCs w:val="28"/>
        </w:rPr>
        <w:t xml:space="preserve"> statistical data of allegations and findings</w:t>
      </w:r>
    </w:p>
    <w:p w:rsidR="006A4ABA" w:rsidRDefault="006A4ABA" w:rsidP="006A4ABA">
      <w:pPr>
        <w:ind w:left="720"/>
        <w:contextualSpacing/>
        <w:rPr>
          <w:sz w:val="28"/>
          <w:szCs w:val="28"/>
        </w:rPr>
      </w:pPr>
    </w:p>
    <w:p w:rsidR="006A4ABA" w:rsidRDefault="006E4F0E" w:rsidP="006A4ABA">
      <w:pPr>
        <w:ind w:left="720"/>
        <w:contextualSpacing/>
        <w:rPr>
          <w:sz w:val="28"/>
          <w:szCs w:val="28"/>
        </w:rPr>
      </w:pPr>
      <w:r w:rsidRPr="008B4AD8">
        <w:rPr>
          <w:b/>
          <w:sz w:val="28"/>
          <w:szCs w:val="28"/>
        </w:rPr>
        <w:t>Archaic Assumptions:</w:t>
      </w:r>
      <w:r>
        <w:rPr>
          <w:sz w:val="28"/>
          <w:szCs w:val="28"/>
        </w:rPr>
        <w:t xml:space="preserve"> historical assumptions about physical abilities; </w:t>
      </w:r>
      <w:r w:rsidR="002B77BF">
        <w:rPr>
          <w:sz w:val="28"/>
          <w:szCs w:val="28"/>
        </w:rPr>
        <w:t xml:space="preserve">sometimes </w:t>
      </w:r>
      <w:r>
        <w:rPr>
          <w:sz w:val="28"/>
          <w:szCs w:val="28"/>
        </w:rPr>
        <w:t>limited to athletic context</w:t>
      </w:r>
    </w:p>
    <w:p w:rsidR="006A4ABA" w:rsidRDefault="006A4ABA" w:rsidP="006A4ABA">
      <w:pPr>
        <w:ind w:left="720"/>
        <w:contextualSpacing/>
        <w:rPr>
          <w:sz w:val="28"/>
          <w:szCs w:val="28"/>
        </w:rPr>
      </w:pPr>
    </w:p>
    <w:p w:rsidR="006E4F0E" w:rsidRDefault="006E4F0E" w:rsidP="006A4ABA">
      <w:pPr>
        <w:ind w:left="720"/>
        <w:contextualSpacing/>
        <w:rPr>
          <w:sz w:val="28"/>
          <w:szCs w:val="28"/>
        </w:rPr>
      </w:pPr>
      <w:r w:rsidRPr="008B4AD8">
        <w:rPr>
          <w:b/>
          <w:sz w:val="28"/>
          <w:szCs w:val="28"/>
        </w:rPr>
        <w:t>Deliberate Indifference:</w:t>
      </w:r>
      <w:r>
        <w:rPr>
          <w:sz w:val="28"/>
          <w:szCs w:val="28"/>
        </w:rPr>
        <w:t xml:space="preserve"> designed for plaintiff alleging </w:t>
      </w:r>
      <w:r w:rsidR="00484752">
        <w:rPr>
          <w:sz w:val="28"/>
          <w:szCs w:val="28"/>
        </w:rPr>
        <w:t>sexual harassment</w:t>
      </w:r>
    </w:p>
    <w:p w:rsidR="002B77BF" w:rsidRDefault="002B77BF">
      <w:pPr>
        <w:rPr>
          <w:b/>
          <w:sz w:val="28"/>
          <w:szCs w:val="28"/>
        </w:rPr>
      </w:pPr>
      <w:r>
        <w:rPr>
          <w:b/>
          <w:sz w:val="28"/>
          <w:szCs w:val="28"/>
        </w:rPr>
        <w:br w:type="page"/>
      </w:r>
    </w:p>
    <w:p w:rsidR="00484752" w:rsidRPr="008B4AD8" w:rsidRDefault="00484752" w:rsidP="00484752">
      <w:pPr>
        <w:rPr>
          <w:b/>
          <w:sz w:val="28"/>
          <w:szCs w:val="28"/>
        </w:rPr>
      </w:pPr>
      <w:r w:rsidRPr="008B4AD8">
        <w:rPr>
          <w:b/>
          <w:sz w:val="28"/>
          <w:szCs w:val="28"/>
        </w:rPr>
        <w:lastRenderedPageBreak/>
        <w:t>United States Constitution, Amendment XIV. Due Process Clause</w:t>
      </w:r>
    </w:p>
    <w:p w:rsidR="00484752" w:rsidRPr="00AE5AD1" w:rsidRDefault="00484752" w:rsidP="00484752">
      <w:pPr>
        <w:ind w:left="720" w:right="720"/>
        <w:rPr>
          <w:sz w:val="28"/>
          <w:szCs w:val="28"/>
        </w:rPr>
      </w:pPr>
      <w:r w:rsidRPr="00AE5AD1">
        <w:rPr>
          <w:sz w:val="28"/>
          <w:szCs w:val="28"/>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9C4939" w:rsidRPr="008B4AD8" w:rsidRDefault="00BB1D10" w:rsidP="009C4939">
      <w:pPr>
        <w:ind w:right="720"/>
        <w:rPr>
          <w:b/>
          <w:sz w:val="28"/>
          <w:szCs w:val="28"/>
        </w:rPr>
      </w:pPr>
      <w:r w:rsidRPr="008B4AD8">
        <w:rPr>
          <w:b/>
          <w:sz w:val="28"/>
          <w:szCs w:val="28"/>
        </w:rPr>
        <w:t>Due Process</w:t>
      </w:r>
      <w:r w:rsidR="008B4AD8" w:rsidRPr="008B4AD8">
        <w:rPr>
          <w:b/>
          <w:sz w:val="28"/>
          <w:szCs w:val="28"/>
        </w:rPr>
        <w:t>:</w:t>
      </w:r>
    </w:p>
    <w:p w:rsidR="006A4ABA" w:rsidRDefault="00BB1D10" w:rsidP="006A4ABA">
      <w:pPr>
        <w:spacing w:line="480" w:lineRule="auto"/>
        <w:contextualSpacing/>
        <w:rPr>
          <w:sz w:val="28"/>
          <w:szCs w:val="28"/>
        </w:rPr>
      </w:pPr>
      <w:r w:rsidRPr="00AE5AD1">
        <w:rPr>
          <w:sz w:val="28"/>
          <w:szCs w:val="28"/>
        </w:rPr>
        <w:tab/>
      </w:r>
      <w:r w:rsidR="008B4AD8">
        <w:rPr>
          <w:sz w:val="28"/>
          <w:szCs w:val="28"/>
        </w:rPr>
        <w:t xml:space="preserve">Due process means the </w:t>
      </w:r>
      <w:r w:rsidRPr="00AE5AD1">
        <w:rPr>
          <w:sz w:val="28"/>
          <w:szCs w:val="28"/>
        </w:rPr>
        <w:t>“</w:t>
      </w:r>
      <w:r w:rsidR="008B4AD8">
        <w:rPr>
          <w:sz w:val="28"/>
          <w:szCs w:val="28"/>
        </w:rPr>
        <w:t>o</w:t>
      </w:r>
      <w:r w:rsidRPr="00AE5AD1">
        <w:rPr>
          <w:sz w:val="28"/>
          <w:szCs w:val="28"/>
        </w:rPr>
        <w:t xml:space="preserve">pportunity to be heard” </w:t>
      </w:r>
      <w:proofErr w:type="spellStart"/>
      <w:r w:rsidRPr="00AE5AD1">
        <w:rPr>
          <w:i/>
          <w:sz w:val="28"/>
          <w:szCs w:val="28"/>
        </w:rPr>
        <w:t>Grannis</w:t>
      </w:r>
      <w:proofErr w:type="spellEnd"/>
      <w:r w:rsidRPr="00AE5AD1">
        <w:rPr>
          <w:i/>
          <w:sz w:val="28"/>
          <w:szCs w:val="28"/>
        </w:rPr>
        <w:t xml:space="preserve"> v. </w:t>
      </w:r>
      <w:proofErr w:type="spellStart"/>
      <w:r w:rsidRPr="00AE5AD1">
        <w:rPr>
          <w:i/>
          <w:sz w:val="28"/>
          <w:szCs w:val="28"/>
        </w:rPr>
        <w:t>Ordean</w:t>
      </w:r>
      <w:proofErr w:type="spellEnd"/>
      <w:r w:rsidRPr="00AE5AD1">
        <w:rPr>
          <w:sz w:val="28"/>
          <w:szCs w:val="28"/>
        </w:rPr>
        <w:t>, 234 U.S. 385, 394 (1914).</w:t>
      </w:r>
      <w:r w:rsidR="006A4ABA">
        <w:rPr>
          <w:sz w:val="28"/>
          <w:szCs w:val="28"/>
        </w:rPr>
        <w:t xml:space="preserve"> </w:t>
      </w:r>
      <w:r w:rsidR="006A4ABA" w:rsidRPr="00041A0A">
        <w:rPr>
          <w:sz w:val="28"/>
          <w:szCs w:val="28"/>
        </w:rPr>
        <w:t>“[D]</w:t>
      </w:r>
      <w:proofErr w:type="spellStart"/>
      <w:r w:rsidR="006A4ABA" w:rsidRPr="00041A0A">
        <w:rPr>
          <w:sz w:val="28"/>
          <w:szCs w:val="28"/>
        </w:rPr>
        <w:t>ue</w:t>
      </w:r>
      <w:proofErr w:type="spellEnd"/>
      <w:r w:rsidR="006A4ABA" w:rsidRPr="00041A0A">
        <w:rPr>
          <w:sz w:val="28"/>
          <w:szCs w:val="28"/>
        </w:rPr>
        <w:t xml:space="preserve"> process requires notice and some opportunity for hearing before a</w:t>
      </w:r>
      <w:r w:rsidR="006A4ABA">
        <w:rPr>
          <w:sz w:val="28"/>
          <w:szCs w:val="28"/>
        </w:rPr>
        <w:t xml:space="preserve"> </w:t>
      </w:r>
      <w:r w:rsidR="006A4ABA" w:rsidRPr="00041A0A">
        <w:rPr>
          <w:sz w:val="28"/>
          <w:szCs w:val="28"/>
        </w:rPr>
        <w:t xml:space="preserve">student at a tax-supported college is expelled for misconduct.” </w:t>
      </w:r>
      <w:r w:rsidR="006A4ABA" w:rsidRPr="00041A0A">
        <w:rPr>
          <w:i/>
          <w:iCs/>
          <w:sz w:val="28"/>
          <w:szCs w:val="28"/>
        </w:rPr>
        <w:t>Dixon v. Ala. State Bd. of Educ.</w:t>
      </w:r>
      <w:r w:rsidR="006A4ABA" w:rsidRPr="00041A0A">
        <w:rPr>
          <w:sz w:val="28"/>
          <w:szCs w:val="28"/>
        </w:rPr>
        <w:t>,</w:t>
      </w:r>
      <w:r w:rsidR="006A4ABA">
        <w:rPr>
          <w:sz w:val="28"/>
          <w:szCs w:val="28"/>
        </w:rPr>
        <w:t xml:space="preserve"> </w:t>
      </w:r>
      <w:r w:rsidR="006A4ABA" w:rsidRPr="00041A0A">
        <w:rPr>
          <w:sz w:val="28"/>
          <w:szCs w:val="28"/>
        </w:rPr>
        <w:t>294 F.2d 150, 158 (5th Cir. 1961).</w:t>
      </w:r>
      <w:r w:rsidR="006A4ABA">
        <w:rPr>
          <w:sz w:val="28"/>
          <w:szCs w:val="28"/>
        </w:rPr>
        <w:t xml:space="preserve"> </w:t>
      </w:r>
      <w:r w:rsidR="006A4ABA" w:rsidRPr="00041A0A">
        <w:rPr>
          <w:sz w:val="28"/>
          <w:szCs w:val="28"/>
        </w:rPr>
        <w:t>“</w:t>
      </w:r>
      <w:r w:rsidR="006A4ABA">
        <w:rPr>
          <w:sz w:val="28"/>
          <w:szCs w:val="28"/>
        </w:rPr>
        <w:t>A</w:t>
      </w:r>
      <w:r w:rsidR="006A4ABA" w:rsidRPr="00041A0A">
        <w:rPr>
          <w:sz w:val="28"/>
          <w:szCs w:val="28"/>
        </w:rPr>
        <w:t xml:space="preserve"> university is not a court of law, and it is neither practical</w:t>
      </w:r>
      <w:r w:rsidR="006A4ABA">
        <w:rPr>
          <w:sz w:val="28"/>
          <w:szCs w:val="28"/>
        </w:rPr>
        <w:t xml:space="preserve"> </w:t>
      </w:r>
      <w:r w:rsidR="006A4ABA" w:rsidRPr="00041A0A">
        <w:rPr>
          <w:sz w:val="28"/>
          <w:szCs w:val="28"/>
        </w:rPr>
        <w:t>nor desirable it be one.”</w:t>
      </w:r>
    </w:p>
    <w:p w:rsidR="006A4ABA" w:rsidRDefault="006A4ABA" w:rsidP="006A4ABA">
      <w:pPr>
        <w:spacing w:line="240" w:lineRule="auto"/>
        <w:ind w:left="720" w:right="720"/>
        <w:contextualSpacing/>
        <w:rPr>
          <w:sz w:val="28"/>
          <w:szCs w:val="28"/>
        </w:rPr>
      </w:pPr>
      <w:r w:rsidRPr="006A4ABA">
        <w:rPr>
          <w:sz w:val="28"/>
          <w:szCs w:val="28"/>
        </w:rPr>
        <w:t>The judicial model of an evidentiary hearing is neither a required, nor even the</w:t>
      </w:r>
      <w:r>
        <w:rPr>
          <w:sz w:val="28"/>
          <w:szCs w:val="28"/>
        </w:rPr>
        <w:t xml:space="preserve"> </w:t>
      </w:r>
      <w:r w:rsidRPr="006A4ABA">
        <w:rPr>
          <w:sz w:val="28"/>
          <w:szCs w:val="28"/>
        </w:rPr>
        <w:t xml:space="preserve">most effective, method of </w:t>
      </w:r>
      <w:proofErr w:type="spellStart"/>
      <w:r w:rsidRPr="006A4ABA">
        <w:rPr>
          <w:sz w:val="28"/>
          <w:szCs w:val="28"/>
        </w:rPr>
        <w:t>decisionmaking</w:t>
      </w:r>
      <w:proofErr w:type="spellEnd"/>
      <w:r w:rsidRPr="006A4ABA">
        <w:rPr>
          <w:sz w:val="28"/>
          <w:szCs w:val="28"/>
        </w:rPr>
        <w:t xml:space="preserve"> in all circumstances. The essence</w:t>
      </w:r>
      <w:r>
        <w:rPr>
          <w:sz w:val="28"/>
          <w:szCs w:val="28"/>
        </w:rPr>
        <w:t xml:space="preserve"> </w:t>
      </w:r>
      <w:r w:rsidRPr="006A4ABA">
        <w:rPr>
          <w:sz w:val="28"/>
          <w:szCs w:val="28"/>
        </w:rPr>
        <w:t>of due process is the requirement that “a person in jeopardy of serious loss (be</w:t>
      </w:r>
      <w:r>
        <w:rPr>
          <w:sz w:val="28"/>
          <w:szCs w:val="28"/>
        </w:rPr>
        <w:t xml:space="preserve"> </w:t>
      </w:r>
      <w:r w:rsidRPr="006A4ABA">
        <w:rPr>
          <w:sz w:val="28"/>
          <w:szCs w:val="28"/>
        </w:rPr>
        <w:t>given) notice of the case against him and opportunity to meet it.” All that is</w:t>
      </w:r>
      <w:r>
        <w:rPr>
          <w:sz w:val="28"/>
          <w:szCs w:val="28"/>
        </w:rPr>
        <w:t xml:space="preserve"> </w:t>
      </w:r>
      <w:r w:rsidRPr="006A4ABA">
        <w:rPr>
          <w:sz w:val="28"/>
          <w:szCs w:val="28"/>
        </w:rPr>
        <w:t>necessary is that the procedures be tailored, in light of the decision to be made, to</w:t>
      </w:r>
      <w:r>
        <w:rPr>
          <w:sz w:val="28"/>
          <w:szCs w:val="28"/>
        </w:rPr>
        <w:t xml:space="preserve"> </w:t>
      </w:r>
      <w:r w:rsidRPr="006A4ABA">
        <w:rPr>
          <w:sz w:val="28"/>
          <w:szCs w:val="28"/>
        </w:rPr>
        <w:t>“the capacities and circumstances of those who are to be heard,” to insure that</w:t>
      </w:r>
      <w:r>
        <w:rPr>
          <w:sz w:val="28"/>
          <w:szCs w:val="28"/>
        </w:rPr>
        <w:t xml:space="preserve"> </w:t>
      </w:r>
      <w:r w:rsidRPr="006A4ABA">
        <w:rPr>
          <w:sz w:val="28"/>
          <w:szCs w:val="28"/>
        </w:rPr>
        <w:t>they are given a meaningful opportunity to present their case.</w:t>
      </w:r>
    </w:p>
    <w:p w:rsidR="006A4ABA" w:rsidRDefault="006A4ABA" w:rsidP="006A4ABA">
      <w:pPr>
        <w:spacing w:line="240" w:lineRule="auto"/>
        <w:ind w:left="720" w:right="720"/>
        <w:contextualSpacing/>
        <w:rPr>
          <w:sz w:val="28"/>
          <w:szCs w:val="28"/>
        </w:rPr>
      </w:pPr>
    </w:p>
    <w:p w:rsidR="00A25895" w:rsidRDefault="006A4ABA" w:rsidP="00A25895">
      <w:pPr>
        <w:spacing w:line="240" w:lineRule="auto"/>
        <w:ind w:right="720"/>
        <w:contextualSpacing/>
        <w:rPr>
          <w:sz w:val="28"/>
          <w:szCs w:val="28"/>
        </w:rPr>
      </w:pPr>
      <w:r w:rsidRPr="00A25895">
        <w:rPr>
          <w:i/>
          <w:sz w:val="28"/>
          <w:szCs w:val="28"/>
        </w:rPr>
        <w:t>Mathews</w:t>
      </w:r>
      <w:r w:rsidR="00A25895" w:rsidRPr="00A25895">
        <w:rPr>
          <w:i/>
          <w:sz w:val="28"/>
          <w:szCs w:val="28"/>
        </w:rPr>
        <w:t xml:space="preserve"> v. Eldridge</w:t>
      </w:r>
      <w:r w:rsidR="00A25895">
        <w:rPr>
          <w:sz w:val="28"/>
          <w:szCs w:val="28"/>
        </w:rPr>
        <w:t>, 424 U.S. 319, 348-49 (1976).</w:t>
      </w:r>
      <w:r>
        <w:rPr>
          <w:sz w:val="28"/>
          <w:szCs w:val="28"/>
        </w:rPr>
        <w:t xml:space="preserve"> </w:t>
      </w:r>
    </w:p>
    <w:p w:rsidR="00A25895" w:rsidRDefault="00A25895" w:rsidP="00A25895">
      <w:pPr>
        <w:spacing w:line="240" w:lineRule="auto"/>
        <w:ind w:right="720"/>
        <w:contextualSpacing/>
        <w:rPr>
          <w:sz w:val="28"/>
          <w:szCs w:val="28"/>
        </w:rPr>
      </w:pPr>
    </w:p>
    <w:p w:rsidR="00A441DF" w:rsidRDefault="00BB1D10" w:rsidP="006A4ABA">
      <w:pPr>
        <w:spacing w:line="480" w:lineRule="auto"/>
        <w:ind w:firstLine="720"/>
        <w:contextualSpacing/>
        <w:rPr>
          <w:sz w:val="28"/>
          <w:szCs w:val="28"/>
        </w:rPr>
      </w:pPr>
      <w:r w:rsidRPr="00AE5AD1">
        <w:rPr>
          <w:sz w:val="28"/>
          <w:szCs w:val="28"/>
        </w:rPr>
        <w:t>No universal standard exists</w:t>
      </w:r>
      <w:r w:rsidR="006A4ABA">
        <w:rPr>
          <w:sz w:val="28"/>
          <w:szCs w:val="28"/>
        </w:rPr>
        <w:t xml:space="preserve"> for </w:t>
      </w:r>
      <w:r w:rsidR="00A25895">
        <w:rPr>
          <w:sz w:val="28"/>
          <w:szCs w:val="28"/>
        </w:rPr>
        <w:t xml:space="preserve">due process in </w:t>
      </w:r>
      <w:r w:rsidR="006A4ABA">
        <w:rPr>
          <w:sz w:val="28"/>
          <w:szCs w:val="28"/>
        </w:rPr>
        <w:t>student conduct proceedings</w:t>
      </w:r>
      <w:r w:rsidRPr="00AE5AD1">
        <w:rPr>
          <w:sz w:val="28"/>
          <w:szCs w:val="28"/>
        </w:rPr>
        <w:t xml:space="preserve">, </w:t>
      </w:r>
      <w:r w:rsidR="006A4ABA">
        <w:rPr>
          <w:sz w:val="28"/>
          <w:szCs w:val="28"/>
        </w:rPr>
        <w:t xml:space="preserve">and application involves a balancing of </w:t>
      </w:r>
      <w:r w:rsidRPr="00AE5AD1">
        <w:rPr>
          <w:sz w:val="28"/>
          <w:szCs w:val="28"/>
        </w:rPr>
        <w:t>interests</w:t>
      </w:r>
      <w:r w:rsidR="008B4AD8">
        <w:rPr>
          <w:sz w:val="28"/>
          <w:szCs w:val="28"/>
        </w:rPr>
        <w:t>:</w:t>
      </w:r>
      <w:r w:rsidRPr="00AE5AD1">
        <w:rPr>
          <w:sz w:val="28"/>
          <w:szCs w:val="28"/>
        </w:rPr>
        <w:t xml:space="preserve"> </w:t>
      </w:r>
    </w:p>
    <w:p w:rsidR="00A441DF" w:rsidRDefault="00A441DF" w:rsidP="00A441DF">
      <w:pPr>
        <w:ind w:left="720" w:right="720"/>
        <w:contextualSpacing/>
        <w:rPr>
          <w:sz w:val="28"/>
          <w:szCs w:val="28"/>
        </w:rPr>
      </w:pPr>
      <w:r w:rsidRPr="00A441DF">
        <w:rPr>
          <w:sz w:val="28"/>
          <w:szCs w:val="28"/>
        </w:rPr>
        <w:lastRenderedPageBreak/>
        <w:t>Generally, the amount of process due in university disciplinary proceedings is</w:t>
      </w:r>
      <w:r>
        <w:rPr>
          <w:sz w:val="28"/>
          <w:szCs w:val="28"/>
        </w:rPr>
        <w:t xml:space="preserve"> </w:t>
      </w:r>
      <w:r w:rsidRPr="00A441DF">
        <w:rPr>
          <w:sz w:val="28"/>
          <w:szCs w:val="28"/>
        </w:rPr>
        <w:t>based on a sliding scale that considers three factors: (a) the student’s interests that</w:t>
      </w:r>
      <w:r>
        <w:rPr>
          <w:sz w:val="28"/>
          <w:szCs w:val="28"/>
        </w:rPr>
        <w:t xml:space="preserve"> </w:t>
      </w:r>
      <w:r w:rsidRPr="00A441DF">
        <w:rPr>
          <w:sz w:val="28"/>
          <w:szCs w:val="28"/>
        </w:rPr>
        <w:t>will be affected; (b) the risk of an erroneous deprivation of such interests through</w:t>
      </w:r>
      <w:r>
        <w:rPr>
          <w:sz w:val="28"/>
          <w:szCs w:val="28"/>
        </w:rPr>
        <w:t xml:space="preserve"> </w:t>
      </w:r>
      <w:r w:rsidRPr="00A441DF">
        <w:rPr>
          <w:sz w:val="28"/>
          <w:szCs w:val="28"/>
        </w:rPr>
        <w:t>the procedures used and the probable value, if any, of additional or substitute</w:t>
      </w:r>
      <w:r>
        <w:rPr>
          <w:sz w:val="28"/>
          <w:szCs w:val="28"/>
        </w:rPr>
        <w:t xml:space="preserve"> </w:t>
      </w:r>
      <w:r w:rsidRPr="00A441DF">
        <w:rPr>
          <w:sz w:val="28"/>
          <w:szCs w:val="28"/>
        </w:rPr>
        <w:t>procedural safeguards; and (c) the university’s interests, including the burden that</w:t>
      </w:r>
      <w:r>
        <w:rPr>
          <w:sz w:val="28"/>
          <w:szCs w:val="28"/>
        </w:rPr>
        <w:t xml:space="preserve"> </w:t>
      </w:r>
      <w:r w:rsidRPr="00A441DF">
        <w:rPr>
          <w:sz w:val="28"/>
          <w:szCs w:val="28"/>
        </w:rPr>
        <w:t>additional procedures would entail.</w:t>
      </w:r>
    </w:p>
    <w:p w:rsidR="00A25895" w:rsidRDefault="00A25895" w:rsidP="00A441DF">
      <w:pPr>
        <w:ind w:left="720" w:right="720"/>
        <w:contextualSpacing/>
        <w:rPr>
          <w:sz w:val="28"/>
          <w:szCs w:val="28"/>
        </w:rPr>
      </w:pPr>
    </w:p>
    <w:p w:rsidR="00A25895" w:rsidRDefault="00A441DF" w:rsidP="00A25895">
      <w:pPr>
        <w:spacing w:line="480" w:lineRule="auto"/>
        <w:contextualSpacing/>
        <w:rPr>
          <w:sz w:val="28"/>
          <w:szCs w:val="28"/>
        </w:rPr>
      </w:pPr>
      <w:r w:rsidRPr="00A441DF">
        <w:rPr>
          <w:i/>
          <w:sz w:val="28"/>
          <w:szCs w:val="28"/>
        </w:rPr>
        <w:t>Mathews</w:t>
      </w:r>
      <w:r>
        <w:rPr>
          <w:sz w:val="28"/>
          <w:szCs w:val="28"/>
        </w:rPr>
        <w:t xml:space="preserve">, 424 U.S. </w:t>
      </w:r>
      <w:r w:rsidR="00A25895">
        <w:rPr>
          <w:sz w:val="28"/>
          <w:szCs w:val="28"/>
        </w:rPr>
        <w:t>at</w:t>
      </w:r>
      <w:r>
        <w:rPr>
          <w:sz w:val="28"/>
          <w:szCs w:val="28"/>
        </w:rPr>
        <w:t xml:space="preserve"> 335. </w:t>
      </w:r>
    </w:p>
    <w:p w:rsidR="00BB1D10" w:rsidRDefault="00E51B45" w:rsidP="00A25895">
      <w:pPr>
        <w:spacing w:line="480" w:lineRule="auto"/>
        <w:ind w:firstLine="720"/>
        <w:contextualSpacing/>
        <w:rPr>
          <w:sz w:val="28"/>
          <w:szCs w:val="28"/>
        </w:rPr>
      </w:pPr>
      <w:r>
        <w:rPr>
          <w:sz w:val="28"/>
          <w:szCs w:val="28"/>
        </w:rPr>
        <w:t>A s</w:t>
      </w:r>
      <w:r w:rsidR="00BB1D10" w:rsidRPr="00AE5AD1">
        <w:rPr>
          <w:sz w:val="28"/>
          <w:szCs w:val="28"/>
        </w:rPr>
        <w:t>tudent ha</w:t>
      </w:r>
      <w:r w:rsidR="00A441DF">
        <w:rPr>
          <w:sz w:val="28"/>
          <w:szCs w:val="28"/>
        </w:rPr>
        <w:t>s</w:t>
      </w:r>
      <w:r w:rsidR="00BB1D10" w:rsidRPr="00AE5AD1">
        <w:rPr>
          <w:sz w:val="28"/>
          <w:szCs w:val="28"/>
        </w:rPr>
        <w:t xml:space="preserve"> a substantial interest at stake during school discipline hearings for sexual misconduct (</w:t>
      </w:r>
      <w:r w:rsidR="00AE5AD1" w:rsidRPr="00A441DF">
        <w:rPr>
          <w:i/>
          <w:sz w:val="28"/>
          <w:szCs w:val="28"/>
        </w:rPr>
        <w:t>e.g.</w:t>
      </w:r>
      <w:r w:rsidR="00AE5AD1" w:rsidRPr="00AE5AD1">
        <w:rPr>
          <w:sz w:val="28"/>
          <w:szCs w:val="28"/>
        </w:rPr>
        <w:t xml:space="preserve">, </w:t>
      </w:r>
      <w:r w:rsidR="00BB1D10" w:rsidRPr="00AE5AD1">
        <w:rPr>
          <w:sz w:val="28"/>
          <w:szCs w:val="28"/>
        </w:rPr>
        <w:t xml:space="preserve">stigma, </w:t>
      </w:r>
      <w:r w:rsidR="00AE5AD1" w:rsidRPr="00AE5AD1">
        <w:rPr>
          <w:sz w:val="28"/>
          <w:szCs w:val="28"/>
        </w:rPr>
        <w:t>removal from housing, suspension, expulsion, monetary loss</w:t>
      </w:r>
      <w:r w:rsidR="00AE5AD1">
        <w:rPr>
          <w:sz w:val="28"/>
          <w:szCs w:val="28"/>
        </w:rPr>
        <w:t>; long-term employment and education impacts</w:t>
      </w:r>
      <w:r w:rsidR="00AE5AD1" w:rsidRPr="00AE5AD1">
        <w:rPr>
          <w:sz w:val="28"/>
          <w:szCs w:val="28"/>
        </w:rPr>
        <w:t>)</w:t>
      </w:r>
      <w:r w:rsidR="00A441DF">
        <w:rPr>
          <w:sz w:val="28"/>
          <w:szCs w:val="28"/>
        </w:rPr>
        <w:t>.</w:t>
      </w:r>
    </w:p>
    <w:p w:rsidR="00A441DF" w:rsidRDefault="00E51B45" w:rsidP="006A4ABA">
      <w:pPr>
        <w:spacing w:line="480" w:lineRule="auto"/>
        <w:ind w:firstLine="720"/>
        <w:contextualSpacing/>
        <w:rPr>
          <w:sz w:val="28"/>
          <w:szCs w:val="28"/>
        </w:rPr>
      </w:pPr>
      <w:r>
        <w:rPr>
          <w:sz w:val="28"/>
          <w:szCs w:val="28"/>
        </w:rPr>
        <w:t>A u</w:t>
      </w:r>
      <w:r w:rsidR="00A441DF">
        <w:rPr>
          <w:sz w:val="28"/>
          <w:szCs w:val="28"/>
        </w:rPr>
        <w:t>niversity has an interest in maintaining safe learning environment, preserving limited resources</w:t>
      </w:r>
      <w:r w:rsidR="008B4AD8">
        <w:rPr>
          <w:sz w:val="28"/>
          <w:szCs w:val="28"/>
        </w:rPr>
        <w:t xml:space="preserve"> (</w:t>
      </w:r>
      <w:r w:rsidR="008B4AD8" w:rsidRPr="008B4AD8">
        <w:rPr>
          <w:i/>
          <w:sz w:val="28"/>
          <w:szCs w:val="28"/>
        </w:rPr>
        <w:t>e.g.</w:t>
      </w:r>
      <w:r w:rsidR="008B4AD8">
        <w:rPr>
          <w:sz w:val="28"/>
          <w:szCs w:val="28"/>
        </w:rPr>
        <w:t>, money, personnel, space, and time).</w:t>
      </w:r>
    </w:p>
    <w:p w:rsidR="00AE5AD1" w:rsidRPr="008B4AD8" w:rsidRDefault="00AE5AD1" w:rsidP="009C4939">
      <w:pPr>
        <w:ind w:right="720"/>
        <w:rPr>
          <w:b/>
          <w:sz w:val="28"/>
          <w:szCs w:val="28"/>
        </w:rPr>
      </w:pPr>
      <w:r>
        <w:rPr>
          <w:sz w:val="28"/>
          <w:szCs w:val="28"/>
        </w:rPr>
        <w:tab/>
      </w:r>
      <w:r w:rsidRPr="008B4AD8">
        <w:rPr>
          <w:b/>
          <w:sz w:val="28"/>
          <w:szCs w:val="28"/>
        </w:rPr>
        <w:t>Degrees of Due Process:</w:t>
      </w:r>
    </w:p>
    <w:p w:rsidR="00254658" w:rsidRPr="008B4AD8" w:rsidRDefault="001F24EC" w:rsidP="009C4939">
      <w:pPr>
        <w:ind w:right="720"/>
        <w:rPr>
          <w:b/>
          <w:sz w:val="28"/>
          <w:szCs w:val="28"/>
        </w:rPr>
      </w:pPr>
      <w:r>
        <w:rPr>
          <w:sz w:val="28"/>
          <w:szCs w:val="28"/>
        </w:rPr>
        <w:tab/>
      </w:r>
      <w:r w:rsidR="00254658">
        <w:rPr>
          <w:sz w:val="28"/>
          <w:szCs w:val="28"/>
        </w:rPr>
        <w:tab/>
      </w:r>
      <w:r w:rsidR="00254658" w:rsidRPr="008B4AD8">
        <w:rPr>
          <w:b/>
          <w:sz w:val="28"/>
          <w:szCs w:val="28"/>
        </w:rPr>
        <w:t>Physical Location:</w:t>
      </w:r>
    </w:p>
    <w:p w:rsidR="001F24EC" w:rsidRDefault="001F24EC" w:rsidP="00254658">
      <w:pPr>
        <w:ind w:left="1440" w:right="720" w:firstLine="720"/>
        <w:rPr>
          <w:sz w:val="28"/>
          <w:szCs w:val="28"/>
        </w:rPr>
      </w:pPr>
      <w:r>
        <w:rPr>
          <w:sz w:val="28"/>
          <w:szCs w:val="28"/>
        </w:rPr>
        <w:t>Separation – video/audio connection</w:t>
      </w:r>
    </w:p>
    <w:p w:rsidR="001F24EC" w:rsidRDefault="008B4AD8" w:rsidP="00254658">
      <w:pPr>
        <w:ind w:left="1440" w:right="720" w:firstLine="720"/>
        <w:rPr>
          <w:sz w:val="28"/>
          <w:szCs w:val="28"/>
        </w:rPr>
      </w:pPr>
      <w:r>
        <w:rPr>
          <w:sz w:val="28"/>
          <w:szCs w:val="28"/>
        </w:rPr>
        <w:t xml:space="preserve">Indirect </w:t>
      </w:r>
      <w:r w:rsidR="001F24EC">
        <w:rPr>
          <w:sz w:val="28"/>
          <w:szCs w:val="28"/>
        </w:rPr>
        <w:t>Confrontation</w:t>
      </w:r>
    </w:p>
    <w:p w:rsidR="008B4AD8" w:rsidRDefault="008B4AD8" w:rsidP="00254658">
      <w:pPr>
        <w:ind w:left="1440" w:right="720" w:firstLine="720"/>
        <w:rPr>
          <w:sz w:val="28"/>
          <w:szCs w:val="28"/>
        </w:rPr>
      </w:pPr>
      <w:r>
        <w:rPr>
          <w:sz w:val="28"/>
          <w:szCs w:val="28"/>
        </w:rPr>
        <w:t>Direct Confrontation</w:t>
      </w:r>
    </w:p>
    <w:p w:rsidR="00254658" w:rsidRPr="008B4AD8" w:rsidRDefault="00254658" w:rsidP="00254658">
      <w:pPr>
        <w:ind w:left="720" w:right="720" w:firstLine="720"/>
        <w:rPr>
          <w:b/>
          <w:sz w:val="28"/>
          <w:szCs w:val="28"/>
        </w:rPr>
      </w:pPr>
      <w:r w:rsidRPr="008B4AD8">
        <w:rPr>
          <w:b/>
          <w:sz w:val="28"/>
          <w:szCs w:val="28"/>
        </w:rPr>
        <w:t>Evidence:</w:t>
      </w:r>
    </w:p>
    <w:p w:rsidR="001F24EC" w:rsidRDefault="00AE5AD1" w:rsidP="009C4939">
      <w:pPr>
        <w:ind w:right="720"/>
        <w:rPr>
          <w:sz w:val="28"/>
          <w:szCs w:val="28"/>
        </w:rPr>
      </w:pPr>
      <w:r>
        <w:rPr>
          <w:sz w:val="28"/>
          <w:szCs w:val="28"/>
        </w:rPr>
        <w:tab/>
      </w:r>
      <w:r w:rsidR="00254658">
        <w:rPr>
          <w:sz w:val="28"/>
          <w:szCs w:val="28"/>
        </w:rPr>
        <w:tab/>
      </w:r>
      <w:r w:rsidR="00254658">
        <w:rPr>
          <w:sz w:val="28"/>
          <w:szCs w:val="28"/>
        </w:rPr>
        <w:tab/>
      </w:r>
      <w:r w:rsidR="001F24EC">
        <w:rPr>
          <w:sz w:val="28"/>
          <w:szCs w:val="28"/>
        </w:rPr>
        <w:t>Written interview statements</w:t>
      </w:r>
    </w:p>
    <w:p w:rsidR="00254658" w:rsidRDefault="00254658" w:rsidP="009C4939">
      <w:pPr>
        <w:ind w:right="720"/>
        <w:rPr>
          <w:sz w:val="28"/>
          <w:szCs w:val="28"/>
        </w:rPr>
      </w:pPr>
      <w:r>
        <w:rPr>
          <w:sz w:val="28"/>
          <w:szCs w:val="28"/>
        </w:rPr>
        <w:tab/>
      </w:r>
      <w:r>
        <w:rPr>
          <w:sz w:val="28"/>
          <w:szCs w:val="28"/>
        </w:rPr>
        <w:tab/>
      </w:r>
      <w:r>
        <w:rPr>
          <w:sz w:val="28"/>
          <w:szCs w:val="28"/>
        </w:rPr>
        <w:tab/>
        <w:t xml:space="preserve">Live </w:t>
      </w:r>
      <w:r w:rsidR="00A25895">
        <w:rPr>
          <w:sz w:val="28"/>
          <w:szCs w:val="28"/>
        </w:rPr>
        <w:t>w</w:t>
      </w:r>
      <w:r>
        <w:rPr>
          <w:sz w:val="28"/>
          <w:szCs w:val="28"/>
        </w:rPr>
        <w:t>itnesses</w:t>
      </w:r>
    </w:p>
    <w:p w:rsidR="00221774" w:rsidRDefault="00221774" w:rsidP="00254658">
      <w:pPr>
        <w:ind w:left="720" w:right="720" w:firstLine="720"/>
        <w:rPr>
          <w:b/>
          <w:sz w:val="28"/>
          <w:szCs w:val="28"/>
        </w:rPr>
      </w:pPr>
    </w:p>
    <w:p w:rsidR="00221774" w:rsidRDefault="00221774" w:rsidP="00254658">
      <w:pPr>
        <w:ind w:left="720" w:right="720" w:firstLine="720"/>
        <w:rPr>
          <w:b/>
          <w:sz w:val="28"/>
          <w:szCs w:val="28"/>
        </w:rPr>
      </w:pPr>
    </w:p>
    <w:p w:rsidR="00221774" w:rsidRDefault="00221774" w:rsidP="00254658">
      <w:pPr>
        <w:ind w:left="720" w:right="720" w:firstLine="720"/>
        <w:rPr>
          <w:b/>
          <w:sz w:val="28"/>
          <w:szCs w:val="28"/>
        </w:rPr>
      </w:pPr>
    </w:p>
    <w:p w:rsidR="00254658" w:rsidRDefault="00254658" w:rsidP="00254658">
      <w:pPr>
        <w:ind w:left="720" w:right="720" w:firstLine="720"/>
        <w:rPr>
          <w:b/>
          <w:sz w:val="28"/>
          <w:szCs w:val="28"/>
        </w:rPr>
      </w:pPr>
      <w:r w:rsidRPr="008B4AD8">
        <w:rPr>
          <w:b/>
          <w:sz w:val="28"/>
          <w:szCs w:val="28"/>
        </w:rPr>
        <w:lastRenderedPageBreak/>
        <w:t>Cross-examination:</w:t>
      </w:r>
    </w:p>
    <w:p w:rsidR="00A25895" w:rsidRDefault="00A25895" w:rsidP="00254658">
      <w:pPr>
        <w:ind w:left="720" w:right="720" w:firstLine="720"/>
        <w:rPr>
          <w:sz w:val="28"/>
          <w:szCs w:val="28"/>
        </w:rPr>
      </w:pPr>
      <w:r>
        <w:rPr>
          <w:b/>
          <w:sz w:val="28"/>
          <w:szCs w:val="28"/>
        </w:rPr>
        <w:tab/>
      </w:r>
      <w:r>
        <w:rPr>
          <w:sz w:val="28"/>
          <w:szCs w:val="28"/>
        </w:rPr>
        <w:t>Written questions</w:t>
      </w:r>
    </w:p>
    <w:p w:rsidR="00A25895" w:rsidRPr="00A25895" w:rsidRDefault="00A25895" w:rsidP="00254658">
      <w:pPr>
        <w:ind w:left="720" w:right="720" w:firstLine="720"/>
        <w:rPr>
          <w:sz w:val="28"/>
          <w:szCs w:val="28"/>
        </w:rPr>
      </w:pPr>
      <w:r>
        <w:rPr>
          <w:sz w:val="28"/>
          <w:szCs w:val="28"/>
        </w:rPr>
        <w:tab/>
        <w:t>Oral questions</w:t>
      </w:r>
    </w:p>
    <w:p w:rsidR="00AE5AD1" w:rsidRDefault="00A25895" w:rsidP="00254658">
      <w:pPr>
        <w:ind w:left="1440" w:right="720" w:firstLine="720"/>
        <w:rPr>
          <w:sz w:val="28"/>
          <w:szCs w:val="28"/>
        </w:rPr>
      </w:pPr>
      <w:r>
        <w:rPr>
          <w:sz w:val="28"/>
          <w:szCs w:val="28"/>
        </w:rPr>
        <w:t>C</w:t>
      </w:r>
      <w:r w:rsidR="00AE5AD1">
        <w:rPr>
          <w:sz w:val="28"/>
          <w:szCs w:val="28"/>
        </w:rPr>
        <w:t>ross-examination</w:t>
      </w:r>
      <w:r>
        <w:rPr>
          <w:sz w:val="28"/>
          <w:szCs w:val="28"/>
        </w:rPr>
        <w:t xml:space="preserve"> by panel</w:t>
      </w:r>
    </w:p>
    <w:p w:rsidR="00AE5AD1" w:rsidRDefault="00AE5AD1" w:rsidP="009C4939">
      <w:pPr>
        <w:ind w:right="720"/>
        <w:rPr>
          <w:sz w:val="28"/>
          <w:szCs w:val="28"/>
        </w:rPr>
      </w:pPr>
      <w:r>
        <w:rPr>
          <w:sz w:val="28"/>
          <w:szCs w:val="28"/>
        </w:rPr>
        <w:tab/>
      </w:r>
      <w:r w:rsidR="00254658">
        <w:rPr>
          <w:sz w:val="28"/>
          <w:szCs w:val="28"/>
        </w:rPr>
        <w:tab/>
      </w:r>
      <w:r w:rsidR="00254658">
        <w:rPr>
          <w:sz w:val="28"/>
          <w:szCs w:val="28"/>
        </w:rPr>
        <w:tab/>
      </w:r>
      <w:r>
        <w:rPr>
          <w:sz w:val="28"/>
          <w:szCs w:val="28"/>
        </w:rPr>
        <w:t>Indirect cross-examination</w:t>
      </w:r>
    </w:p>
    <w:p w:rsidR="001F24EC" w:rsidRDefault="001F24EC" w:rsidP="009C4939">
      <w:pPr>
        <w:ind w:right="720"/>
        <w:rPr>
          <w:sz w:val="28"/>
          <w:szCs w:val="28"/>
        </w:rPr>
      </w:pPr>
      <w:r>
        <w:rPr>
          <w:sz w:val="28"/>
          <w:szCs w:val="28"/>
        </w:rPr>
        <w:tab/>
      </w:r>
      <w:r w:rsidR="00254658">
        <w:rPr>
          <w:sz w:val="28"/>
          <w:szCs w:val="28"/>
        </w:rPr>
        <w:tab/>
      </w:r>
      <w:r w:rsidR="00254658">
        <w:rPr>
          <w:sz w:val="28"/>
          <w:szCs w:val="28"/>
        </w:rPr>
        <w:tab/>
      </w:r>
      <w:r>
        <w:rPr>
          <w:sz w:val="28"/>
          <w:szCs w:val="28"/>
        </w:rPr>
        <w:t>Cross-examination by accused</w:t>
      </w:r>
    </w:p>
    <w:p w:rsidR="001F24EC" w:rsidRDefault="001F24EC" w:rsidP="009C4939">
      <w:pPr>
        <w:ind w:right="720"/>
        <w:rPr>
          <w:sz w:val="28"/>
          <w:szCs w:val="28"/>
        </w:rPr>
      </w:pPr>
      <w:r>
        <w:rPr>
          <w:sz w:val="28"/>
          <w:szCs w:val="28"/>
        </w:rPr>
        <w:tab/>
      </w:r>
      <w:r w:rsidR="00254658">
        <w:rPr>
          <w:sz w:val="28"/>
          <w:szCs w:val="28"/>
        </w:rPr>
        <w:tab/>
      </w:r>
      <w:r w:rsidR="00254658">
        <w:rPr>
          <w:sz w:val="28"/>
          <w:szCs w:val="28"/>
        </w:rPr>
        <w:tab/>
      </w:r>
      <w:r>
        <w:rPr>
          <w:sz w:val="28"/>
          <w:szCs w:val="28"/>
        </w:rPr>
        <w:t>Cross-examination by representative</w:t>
      </w:r>
    </w:p>
    <w:p w:rsidR="00254658" w:rsidRPr="008B4AD8" w:rsidRDefault="00AE5AD1" w:rsidP="009C4939">
      <w:pPr>
        <w:ind w:right="720"/>
        <w:rPr>
          <w:b/>
          <w:sz w:val="28"/>
          <w:szCs w:val="28"/>
        </w:rPr>
      </w:pPr>
      <w:r>
        <w:rPr>
          <w:sz w:val="28"/>
          <w:szCs w:val="28"/>
        </w:rPr>
        <w:tab/>
      </w:r>
      <w:r w:rsidR="00254658">
        <w:rPr>
          <w:sz w:val="28"/>
          <w:szCs w:val="28"/>
        </w:rPr>
        <w:tab/>
      </w:r>
      <w:r w:rsidRPr="008B4AD8">
        <w:rPr>
          <w:b/>
          <w:sz w:val="28"/>
          <w:szCs w:val="28"/>
        </w:rPr>
        <w:t>Burden of proof</w:t>
      </w:r>
      <w:r w:rsidR="00254658" w:rsidRPr="008B4AD8">
        <w:rPr>
          <w:b/>
          <w:sz w:val="28"/>
          <w:szCs w:val="28"/>
        </w:rPr>
        <w:t>:</w:t>
      </w:r>
    </w:p>
    <w:p w:rsidR="00254658" w:rsidRDefault="001F24EC" w:rsidP="00254658">
      <w:pPr>
        <w:ind w:left="1440" w:right="720" w:firstLine="720"/>
        <w:rPr>
          <w:sz w:val="28"/>
          <w:szCs w:val="28"/>
        </w:rPr>
      </w:pPr>
      <w:proofErr w:type="gramStart"/>
      <w:r>
        <w:rPr>
          <w:sz w:val="28"/>
          <w:szCs w:val="28"/>
        </w:rPr>
        <w:t>preponderance</w:t>
      </w:r>
      <w:proofErr w:type="gramEnd"/>
    </w:p>
    <w:p w:rsidR="00AE5AD1" w:rsidRDefault="001F24EC" w:rsidP="00254658">
      <w:pPr>
        <w:ind w:left="1440" w:right="720" w:firstLine="720"/>
        <w:rPr>
          <w:sz w:val="28"/>
          <w:szCs w:val="28"/>
        </w:rPr>
      </w:pPr>
      <w:proofErr w:type="gramStart"/>
      <w:r>
        <w:rPr>
          <w:sz w:val="28"/>
          <w:szCs w:val="28"/>
        </w:rPr>
        <w:t>clear</w:t>
      </w:r>
      <w:proofErr w:type="gramEnd"/>
      <w:r>
        <w:rPr>
          <w:sz w:val="28"/>
          <w:szCs w:val="28"/>
        </w:rPr>
        <w:t xml:space="preserve"> and convincing</w:t>
      </w:r>
    </w:p>
    <w:p w:rsidR="00504256" w:rsidRPr="00504256" w:rsidRDefault="00504256" w:rsidP="00504256">
      <w:pPr>
        <w:ind w:right="720"/>
        <w:rPr>
          <w:b/>
          <w:sz w:val="28"/>
          <w:szCs w:val="28"/>
        </w:rPr>
      </w:pPr>
      <w:r>
        <w:rPr>
          <w:sz w:val="28"/>
          <w:szCs w:val="28"/>
        </w:rPr>
        <w:tab/>
      </w:r>
      <w:r>
        <w:rPr>
          <w:sz w:val="28"/>
          <w:szCs w:val="28"/>
        </w:rPr>
        <w:tab/>
      </w:r>
      <w:r w:rsidRPr="00504256">
        <w:rPr>
          <w:b/>
          <w:sz w:val="28"/>
          <w:szCs w:val="28"/>
        </w:rPr>
        <w:t>Composition of Panel:</w:t>
      </w:r>
    </w:p>
    <w:p w:rsidR="00504256" w:rsidRDefault="00504256" w:rsidP="00504256">
      <w:pPr>
        <w:ind w:right="720"/>
        <w:rPr>
          <w:sz w:val="28"/>
          <w:szCs w:val="28"/>
        </w:rPr>
      </w:pPr>
      <w:r>
        <w:rPr>
          <w:sz w:val="28"/>
          <w:szCs w:val="28"/>
        </w:rPr>
        <w:tab/>
      </w:r>
      <w:r>
        <w:rPr>
          <w:sz w:val="28"/>
          <w:szCs w:val="28"/>
        </w:rPr>
        <w:tab/>
      </w:r>
      <w:r>
        <w:rPr>
          <w:sz w:val="28"/>
          <w:szCs w:val="28"/>
        </w:rPr>
        <w:tab/>
        <w:t>Faculty, staff and/or students</w:t>
      </w:r>
    </w:p>
    <w:p w:rsidR="00504256" w:rsidRDefault="00504256" w:rsidP="00504256">
      <w:pPr>
        <w:ind w:right="720"/>
        <w:rPr>
          <w:sz w:val="28"/>
          <w:szCs w:val="28"/>
        </w:rPr>
      </w:pPr>
      <w:r>
        <w:rPr>
          <w:sz w:val="28"/>
          <w:szCs w:val="28"/>
        </w:rPr>
        <w:tab/>
      </w:r>
      <w:r>
        <w:rPr>
          <w:sz w:val="28"/>
          <w:szCs w:val="28"/>
        </w:rPr>
        <w:tab/>
      </w:r>
      <w:r>
        <w:rPr>
          <w:sz w:val="28"/>
          <w:szCs w:val="28"/>
        </w:rPr>
        <w:tab/>
        <w:t>Manner of selecting and training panel</w:t>
      </w:r>
    </w:p>
    <w:p w:rsidR="00504256" w:rsidRPr="00504256" w:rsidRDefault="00504256" w:rsidP="00504256">
      <w:pPr>
        <w:ind w:right="720"/>
        <w:rPr>
          <w:b/>
          <w:sz w:val="28"/>
          <w:szCs w:val="28"/>
        </w:rPr>
      </w:pPr>
      <w:r>
        <w:rPr>
          <w:sz w:val="28"/>
          <w:szCs w:val="28"/>
        </w:rPr>
        <w:tab/>
      </w:r>
      <w:r>
        <w:rPr>
          <w:sz w:val="28"/>
          <w:szCs w:val="28"/>
        </w:rPr>
        <w:tab/>
      </w:r>
      <w:r w:rsidRPr="00504256">
        <w:rPr>
          <w:b/>
          <w:sz w:val="28"/>
          <w:szCs w:val="28"/>
        </w:rPr>
        <w:t>Role of Investigator:</w:t>
      </w:r>
    </w:p>
    <w:p w:rsidR="00504256" w:rsidRDefault="00504256" w:rsidP="00504256">
      <w:pPr>
        <w:ind w:right="720"/>
        <w:rPr>
          <w:sz w:val="28"/>
          <w:szCs w:val="28"/>
        </w:rPr>
      </w:pPr>
      <w:r>
        <w:rPr>
          <w:sz w:val="28"/>
          <w:szCs w:val="28"/>
        </w:rPr>
        <w:tab/>
      </w:r>
      <w:r>
        <w:rPr>
          <w:sz w:val="28"/>
          <w:szCs w:val="28"/>
        </w:rPr>
        <w:tab/>
      </w:r>
      <w:r>
        <w:rPr>
          <w:sz w:val="28"/>
          <w:szCs w:val="28"/>
        </w:rPr>
        <w:tab/>
        <w:t>Written evidence summary</w:t>
      </w:r>
    </w:p>
    <w:p w:rsidR="00504256" w:rsidRDefault="00504256" w:rsidP="00504256">
      <w:pPr>
        <w:ind w:right="720"/>
        <w:rPr>
          <w:sz w:val="28"/>
          <w:szCs w:val="28"/>
        </w:rPr>
      </w:pPr>
      <w:r>
        <w:rPr>
          <w:sz w:val="28"/>
          <w:szCs w:val="28"/>
        </w:rPr>
        <w:tab/>
      </w:r>
      <w:r>
        <w:rPr>
          <w:sz w:val="28"/>
          <w:szCs w:val="28"/>
        </w:rPr>
        <w:tab/>
      </w:r>
      <w:r>
        <w:rPr>
          <w:sz w:val="28"/>
          <w:szCs w:val="28"/>
        </w:rPr>
        <w:tab/>
        <w:t>Written findings</w:t>
      </w:r>
    </w:p>
    <w:p w:rsidR="00504256" w:rsidRDefault="00504256" w:rsidP="00504256">
      <w:pPr>
        <w:ind w:right="720"/>
        <w:rPr>
          <w:sz w:val="28"/>
          <w:szCs w:val="28"/>
        </w:rPr>
      </w:pPr>
      <w:r>
        <w:rPr>
          <w:sz w:val="28"/>
          <w:szCs w:val="28"/>
        </w:rPr>
        <w:tab/>
      </w:r>
      <w:r>
        <w:rPr>
          <w:sz w:val="28"/>
          <w:szCs w:val="28"/>
        </w:rPr>
        <w:tab/>
      </w:r>
      <w:r>
        <w:rPr>
          <w:sz w:val="28"/>
          <w:szCs w:val="28"/>
        </w:rPr>
        <w:tab/>
        <w:t>Prosecuting witness</w:t>
      </w:r>
    </w:p>
    <w:p w:rsidR="001F24EC" w:rsidRPr="008B4AD8" w:rsidRDefault="008B4AD8" w:rsidP="008B4AD8">
      <w:pPr>
        <w:ind w:right="720" w:firstLine="720"/>
        <w:rPr>
          <w:b/>
          <w:sz w:val="28"/>
          <w:szCs w:val="28"/>
        </w:rPr>
      </w:pPr>
      <w:r>
        <w:rPr>
          <w:b/>
          <w:sz w:val="28"/>
          <w:szCs w:val="28"/>
        </w:rPr>
        <w:t>Obstacl</w:t>
      </w:r>
      <w:r w:rsidR="001F24EC" w:rsidRPr="008B4AD8">
        <w:rPr>
          <w:b/>
          <w:sz w:val="28"/>
          <w:szCs w:val="28"/>
        </w:rPr>
        <w:t>es:</w:t>
      </w:r>
    </w:p>
    <w:p w:rsidR="001F24EC" w:rsidRDefault="001F24EC" w:rsidP="009C4939">
      <w:pPr>
        <w:ind w:right="720"/>
        <w:rPr>
          <w:sz w:val="28"/>
          <w:szCs w:val="28"/>
        </w:rPr>
      </w:pPr>
      <w:r>
        <w:rPr>
          <w:sz w:val="28"/>
          <w:szCs w:val="28"/>
        </w:rPr>
        <w:tab/>
      </w:r>
      <w:r w:rsidR="008B4AD8">
        <w:rPr>
          <w:sz w:val="28"/>
          <w:szCs w:val="28"/>
        </w:rPr>
        <w:tab/>
      </w:r>
      <w:r>
        <w:rPr>
          <w:sz w:val="28"/>
          <w:szCs w:val="28"/>
        </w:rPr>
        <w:t>Lack of subpoena power</w:t>
      </w:r>
    </w:p>
    <w:p w:rsidR="00AE5AD1" w:rsidRDefault="001F24EC" w:rsidP="009C4939">
      <w:pPr>
        <w:ind w:right="720"/>
        <w:rPr>
          <w:sz w:val="28"/>
          <w:szCs w:val="28"/>
        </w:rPr>
      </w:pPr>
      <w:r>
        <w:rPr>
          <w:sz w:val="28"/>
          <w:szCs w:val="28"/>
        </w:rPr>
        <w:tab/>
      </w:r>
      <w:r w:rsidR="008B4AD8">
        <w:rPr>
          <w:sz w:val="28"/>
          <w:szCs w:val="28"/>
        </w:rPr>
        <w:tab/>
      </w:r>
      <w:r>
        <w:rPr>
          <w:sz w:val="28"/>
          <w:szCs w:val="28"/>
        </w:rPr>
        <w:t>Duty to campus</w:t>
      </w:r>
      <w:r w:rsidR="008B4AD8">
        <w:rPr>
          <w:sz w:val="28"/>
          <w:szCs w:val="28"/>
        </w:rPr>
        <w:t>/</w:t>
      </w:r>
      <w:r>
        <w:rPr>
          <w:sz w:val="28"/>
          <w:szCs w:val="28"/>
        </w:rPr>
        <w:t xml:space="preserve"> if accuser does not appear</w:t>
      </w:r>
      <w:r>
        <w:rPr>
          <w:sz w:val="28"/>
          <w:szCs w:val="28"/>
        </w:rPr>
        <w:tab/>
      </w:r>
    </w:p>
    <w:p w:rsidR="002B77BF" w:rsidRPr="00AE5AD1" w:rsidRDefault="002B77BF" w:rsidP="009C4939">
      <w:pPr>
        <w:ind w:right="720"/>
        <w:rPr>
          <w:sz w:val="28"/>
          <w:szCs w:val="28"/>
        </w:rPr>
      </w:pPr>
      <w:r>
        <w:rPr>
          <w:sz w:val="28"/>
          <w:szCs w:val="28"/>
        </w:rPr>
        <w:tab/>
      </w:r>
      <w:r>
        <w:rPr>
          <w:sz w:val="28"/>
          <w:szCs w:val="28"/>
        </w:rPr>
        <w:tab/>
        <w:t>DOE proposed regulations</w:t>
      </w:r>
    </w:p>
    <w:p w:rsidR="00BB1D10" w:rsidRPr="009C4939" w:rsidRDefault="00BB1D10" w:rsidP="009C4939">
      <w:pPr>
        <w:ind w:right="720"/>
        <w:rPr>
          <w:sz w:val="24"/>
          <w:szCs w:val="24"/>
        </w:rPr>
      </w:pPr>
    </w:p>
    <w:sectPr w:rsidR="00BB1D10" w:rsidRPr="009C49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94" w:rsidRDefault="00863994" w:rsidP="00A5475F">
      <w:pPr>
        <w:spacing w:after="0" w:line="240" w:lineRule="auto"/>
      </w:pPr>
      <w:r>
        <w:separator/>
      </w:r>
    </w:p>
  </w:endnote>
  <w:endnote w:type="continuationSeparator" w:id="0">
    <w:p w:rsidR="00863994" w:rsidRDefault="00863994" w:rsidP="00A5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75F" w:rsidRDefault="00A54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94" w:rsidRDefault="00863994" w:rsidP="00A5475F">
      <w:pPr>
        <w:spacing w:after="0" w:line="240" w:lineRule="auto"/>
      </w:pPr>
      <w:r>
        <w:separator/>
      </w:r>
    </w:p>
  </w:footnote>
  <w:footnote w:type="continuationSeparator" w:id="0">
    <w:p w:rsidR="00863994" w:rsidRDefault="00863994" w:rsidP="00A54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6F"/>
    <w:rsid w:val="00041A0A"/>
    <w:rsid w:val="00067B0B"/>
    <w:rsid w:val="001F24EC"/>
    <w:rsid w:val="002020E9"/>
    <w:rsid w:val="00221774"/>
    <w:rsid w:val="00254658"/>
    <w:rsid w:val="002B77BF"/>
    <w:rsid w:val="00484752"/>
    <w:rsid w:val="00504256"/>
    <w:rsid w:val="006A4ABA"/>
    <w:rsid w:val="006E4F0E"/>
    <w:rsid w:val="00817F24"/>
    <w:rsid w:val="00824499"/>
    <w:rsid w:val="00863994"/>
    <w:rsid w:val="008B4AD8"/>
    <w:rsid w:val="009C4939"/>
    <w:rsid w:val="00A25895"/>
    <w:rsid w:val="00A441DF"/>
    <w:rsid w:val="00A50D90"/>
    <w:rsid w:val="00A5475F"/>
    <w:rsid w:val="00AE5AD1"/>
    <w:rsid w:val="00B7716F"/>
    <w:rsid w:val="00BB1D10"/>
    <w:rsid w:val="00E5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52E34D-E215-4F3E-9FA9-D5C5D604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75F"/>
  </w:style>
  <w:style w:type="paragraph" w:styleId="Footer">
    <w:name w:val="footer"/>
    <w:basedOn w:val="Normal"/>
    <w:link w:val="FooterChar"/>
    <w:uiPriority w:val="99"/>
    <w:unhideWhenUsed/>
    <w:rsid w:val="00A54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Mayo</dc:creator>
  <cp:keywords/>
  <dc:description/>
  <cp:lastModifiedBy>Cal Mayo</cp:lastModifiedBy>
  <cp:revision>9</cp:revision>
  <dcterms:created xsi:type="dcterms:W3CDTF">2019-05-31T19:03:00Z</dcterms:created>
  <dcterms:modified xsi:type="dcterms:W3CDTF">2019-06-02T14:33:00Z</dcterms:modified>
</cp:coreProperties>
</file>